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1259D">
      <w:pPr>
        <w:pStyle w:val="4"/>
        <w:shd w:val="clear" w:color="auto" w:fill="FFFFFF"/>
        <w:spacing w:before="0" w:beforeAutospacing="0" w:after="0" w:afterAutospacing="0" w:line="360" w:lineRule="auto"/>
        <w:jc w:val="center"/>
        <w:rPr>
          <w:color w:val="333333"/>
        </w:rPr>
      </w:pPr>
      <w:r>
        <w:rPr>
          <w:rFonts w:hint="eastAsia"/>
          <w:color w:val="333333"/>
        </w:rPr>
        <w:t>魏村街道大沟稍电灌站移址复建工程澄清文件</w:t>
      </w:r>
    </w:p>
    <w:p w14:paraId="49693C42">
      <w:pPr>
        <w:pStyle w:val="4"/>
        <w:shd w:val="clear" w:color="auto" w:fill="FFFFFF"/>
        <w:spacing w:before="0" w:beforeAutospacing="0" w:after="0" w:afterAutospacing="0" w:line="360" w:lineRule="auto"/>
        <w:rPr>
          <w:color w:val="333333"/>
        </w:rPr>
      </w:pPr>
      <w:r>
        <w:rPr>
          <w:color w:val="333333"/>
        </w:rPr>
        <w:t>1、</w:t>
      </w:r>
      <w:r>
        <w:rPr>
          <w:rFonts w:hint="eastAsia"/>
          <w:color w:val="333333"/>
        </w:rPr>
        <w:t>澄清内容如下：</w:t>
      </w:r>
    </w:p>
    <w:p w14:paraId="0FF4B84B">
      <w:pPr>
        <w:ind w:firstLine="241" w:firstLineChars="100"/>
        <w:rPr>
          <w:b/>
          <w:sz w:val="24"/>
          <w:szCs w:val="28"/>
        </w:rPr>
      </w:pPr>
      <w:r>
        <w:rPr>
          <w:rFonts w:hint="eastAsia"/>
          <w:b/>
          <w:sz w:val="24"/>
          <w:szCs w:val="28"/>
        </w:rPr>
        <w:t>清单序号36</w:t>
      </w:r>
    </w:p>
    <w:p w14:paraId="4B72FA8E">
      <w:pPr>
        <w:rPr>
          <w:sz w:val="20"/>
        </w:rPr>
      </w:pPr>
      <w:r>
        <w:rPr>
          <w:rFonts w:hint="eastAsia"/>
          <w:sz w:val="20"/>
        </w:rPr>
        <w:drawing>
          <wp:inline distT="0" distB="0" distL="114300" distR="114300">
            <wp:extent cx="5273040" cy="428625"/>
            <wp:effectExtent l="0" t="0" r="3810" b="9525"/>
            <wp:docPr id="1" name="图片 1" descr="1751008606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51008606836"/>
                    <pic:cNvPicPr>
                      <a:picLocks noChangeAspect="1"/>
                    </pic:cNvPicPr>
                  </pic:nvPicPr>
                  <pic:blipFill>
                    <a:blip r:embed="rId4"/>
                    <a:stretch>
                      <a:fillRect/>
                    </a:stretch>
                  </pic:blipFill>
                  <pic:spPr>
                    <a:xfrm>
                      <a:off x="0" y="0"/>
                      <a:ext cx="5606297" cy="455714"/>
                    </a:xfrm>
                    <a:prstGeom prst="rect">
                      <a:avLst/>
                    </a:prstGeom>
                  </pic:spPr>
                </pic:pic>
              </a:graphicData>
            </a:graphic>
          </wp:inline>
        </w:drawing>
      </w:r>
    </w:p>
    <w:p w14:paraId="01331AB5">
      <w:pPr>
        <w:ind w:firstLine="241" w:firstLineChars="100"/>
        <w:rPr>
          <w:b/>
          <w:sz w:val="24"/>
          <w:szCs w:val="28"/>
        </w:rPr>
      </w:pPr>
      <w:r>
        <w:rPr>
          <w:rFonts w:hint="eastAsia"/>
          <w:b/>
          <w:sz w:val="24"/>
          <w:szCs w:val="28"/>
        </w:rPr>
        <w:t>单位为“m</w:t>
      </w:r>
      <w:bookmarkStart w:id="1" w:name="_GoBack"/>
      <w:r>
        <w:rPr>
          <w:rFonts w:hint="eastAsia"/>
          <w:b/>
          <w:sz w:val="24"/>
          <w:szCs w:val="28"/>
          <w:vertAlign w:val="superscript"/>
        </w:rPr>
        <w:t>2</w:t>
      </w:r>
      <w:bookmarkEnd w:id="1"/>
      <w:r>
        <w:rPr>
          <w:rFonts w:hint="eastAsia"/>
          <w:b/>
          <w:sz w:val="24"/>
          <w:szCs w:val="28"/>
        </w:rPr>
        <w:t>”。</w:t>
      </w:r>
    </w:p>
    <w:p w14:paraId="731920B4">
      <w:pPr>
        <w:ind w:firstLine="240" w:firstLineChars="100"/>
        <w:rPr>
          <w:rFonts w:hint="eastAsia"/>
          <w:sz w:val="24"/>
          <w:szCs w:val="28"/>
        </w:rPr>
      </w:pPr>
      <w:r>
        <w:rPr>
          <w:sz w:val="24"/>
          <w:szCs w:val="28"/>
        </w:rPr>
        <w:t>具体详见调整后工程量清单及工程量清单控制价。</w:t>
      </w:r>
    </w:p>
    <w:p w14:paraId="713BBC87">
      <w:pPr>
        <w:pStyle w:val="4"/>
        <w:shd w:val="clear" w:color="auto" w:fill="FFFFFF"/>
        <w:spacing w:before="0" w:beforeAutospacing="0" w:after="0" w:afterAutospacing="0" w:line="360" w:lineRule="auto"/>
        <w:rPr>
          <w:color w:val="333333"/>
        </w:rPr>
      </w:pPr>
      <w:r>
        <w:rPr>
          <w:color w:val="333333"/>
        </w:rPr>
        <w:t>2</w:t>
      </w:r>
      <w:r>
        <w:rPr>
          <w:rFonts w:hint="eastAsia"/>
          <w:color w:val="333333"/>
        </w:rPr>
        <w:t>、本工程开标时间及其他内容均不变，按原招标文件执行。</w:t>
      </w:r>
    </w:p>
    <w:p w14:paraId="322061E1">
      <w:pPr>
        <w:pStyle w:val="4"/>
        <w:shd w:val="clear" w:color="auto" w:fill="FFFFFF"/>
        <w:spacing w:before="0" w:beforeAutospacing="0" w:after="0" w:afterAutospacing="0" w:line="360" w:lineRule="auto"/>
        <w:rPr>
          <w:color w:val="333333"/>
        </w:rPr>
      </w:pPr>
      <w:r>
        <w:rPr>
          <w:rFonts w:hint="eastAsia"/>
          <w:color w:val="333333"/>
        </w:rPr>
        <w:t>如给您带来不便，敬请谅解！</w:t>
      </w:r>
    </w:p>
    <w:p w14:paraId="0D722CC6">
      <w:pPr>
        <w:pStyle w:val="4"/>
        <w:shd w:val="clear" w:color="auto" w:fill="FFFFFF"/>
        <w:spacing w:before="0" w:beforeAutospacing="0" w:after="0" w:afterAutospacing="0" w:line="360" w:lineRule="auto"/>
        <w:rPr>
          <w:color w:val="333333"/>
        </w:rPr>
      </w:pPr>
    </w:p>
    <w:p w14:paraId="2DA5EF5D">
      <w:pPr>
        <w:pStyle w:val="4"/>
        <w:shd w:val="clear" w:color="auto" w:fill="FFFFFF"/>
        <w:spacing w:before="0" w:beforeAutospacing="0" w:after="0" w:afterAutospacing="0" w:line="360" w:lineRule="auto"/>
        <w:jc w:val="right"/>
        <w:rPr>
          <w:color w:val="333333"/>
        </w:rPr>
      </w:pPr>
      <w:r>
        <w:rPr>
          <w:rFonts w:hint="eastAsia"/>
          <w:color w:val="333333"/>
        </w:rPr>
        <w:t>常州市新北区魏村街道办事处</w:t>
      </w:r>
    </w:p>
    <w:p w14:paraId="40EE47C6">
      <w:pPr>
        <w:pStyle w:val="4"/>
        <w:shd w:val="clear" w:color="auto" w:fill="FFFFFF"/>
        <w:spacing w:before="0" w:beforeAutospacing="0" w:after="0" w:afterAutospacing="0" w:line="360" w:lineRule="auto"/>
        <w:jc w:val="right"/>
        <w:rPr>
          <w:color w:val="333333"/>
        </w:rPr>
      </w:pPr>
      <w:r>
        <w:rPr>
          <w:rFonts w:hint="eastAsia"/>
          <w:color w:val="333333"/>
        </w:rPr>
        <w:t>江苏春为全过程工程咨询有限公司</w:t>
      </w:r>
    </w:p>
    <w:p w14:paraId="7CC7491A">
      <w:pPr>
        <w:pStyle w:val="4"/>
        <w:shd w:val="clear" w:color="auto" w:fill="FFFFFF"/>
        <w:spacing w:before="0" w:beforeAutospacing="0" w:after="0" w:afterAutospacing="0" w:line="360" w:lineRule="auto"/>
        <w:jc w:val="right"/>
        <w:rPr>
          <w:color w:val="333333"/>
        </w:rPr>
      </w:pPr>
      <w:r>
        <w:rPr>
          <w:rFonts w:hint="eastAsia"/>
          <w:color w:val="333333"/>
        </w:rPr>
        <w:t>202</w:t>
      </w:r>
      <w:r>
        <w:rPr>
          <w:color w:val="333333"/>
        </w:rPr>
        <w:t>5</w:t>
      </w:r>
      <w:r>
        <w:rPr>
          <w:rFonts w:hint="eastAsia"/>
          <w:color w:val="333333"/>
        </w:rPr>
        <w:t>年</w:t>
      </w:r>
      <w:r>
        <w:rPr>
          <w:color w:val="333333"/>
        </w:rPr>
        <w:t>6</w:t>
      </w:r>
      <w:r>
        <w:rPr>
          <w:rFonts w:hint="eastAsia"/>
          <w:color w:val="333333"/>
        </w:rPr>
        <w:t>月</w:t>
      </w:r>
      <w:r>
        <w:rPr>
          <w:color w:val="333333"/>
        </w:rPr>
        <w:t>27</w:t>
      </w:r>
      <w:r>
        <w:rPr>
          <w:rFonts w:hint="eastAsia"/>
          <w:color w:val="333333"/>
        </w:rPr>
        <w:t>日</w:t>
      </w:r>
    </w:p>
    <w:p w14:paraId="36E2E0A0">
      <w:pPr>
        <w:widowControl/>
        <w:jc w:val="left"/>
        <w:rPr>
          <w:rFonts w:ascii="宋体" w:hAnsi="宋体" w:eastAsia="宋体" w:cs="宋体"/>
          <w:color w:val="333333"/>
          <w:kern w:val="0"/>
          <w:sz w:val="24"/>
          <w:szCs w:val="24"/>
        </w:rPr>
      </w:pPr>
      <w:r>
        <w:rPr>
          <w:color w:val="333333"/>
        </w:rPr>
        <w:br w:type="page"/>
      </w:r>
    </w:p>
    <w:p w14:paraId="1EE94111">
      <w:pPr>
        <w:pStyle w:val="4"/>
        <w:shd w:val="clear" w:color="auto" w:fill="FFFFFF"/>
        <w:spacing w:before="0" w:beforeAutospacing="0" w:after="0" w:afterAutospacing="0" w:line="360" w:lineRule="auto"/>
        <w:jc w:val="right"/>
        <w:rPr>
          <w:color w:val="333333"/>
        </w:rPr>
      </w:pPr>
    </w:p>
    <w:p w14:paraId="653E0569">
      <w:pPr>
        <w:spacing w:after="156" w:afterLines="50" w:line="600" w:lineRule="exact"/>
        <w:jc w:val="center"/>
        <w:rPr>
          <w:rFonts w:ascii="黑体" w:hAnsi="宋体" w:eastAsia="黑体"/>
          <w:color w:val="000000"/>
          <w:sz w:val="44"/>
          <w:szCs w:val="44"/>
        </w:rPr>
      </w:pPr>
      <w:r>
        <w:rPr>
          <w:rFonts w:hint="eastAsia" w:ascii="黑体" w:hAnsi="宋体" w:eastAsia="黑体"/>
          <w:color w:val="000000"/>
          <w:sz w:val="44"/>
          <w:szCs w:val="44"/>
        </w:rPr>
        <w:t>评标办法</w:t>
      </w:r>
    </w:p>
    <w:p w14:paraId="06B5CA91">
      <w:pPr>
        <w:spacing w:line="360" w:lineRule="auto"/>
        <w:ind w:firstLine="405" w:firstLineChars="192"/>
        <w:rPr>
          <w:rFonts w:ascii="宋体" w:cs="宋体"/>
          <w:b/>
          <w:color w:val="000000"/>
          <w:kern w:val="0"/>
          <w:szCs w:val="21"/>
        </w:rPr>
      </w:pPr>
      <w:bookmarkStart w:id="0" w:name="_Hlk108014910"/>
      <w:r>
        <w:rPr>
          <w:rFonts w:hint="eastAsia" w:ascii="宋体" w:cs="宋体"/>
          <w:b/>
          <w:color w:val="000000"/>
          <w:kern w:val="0"/>
          <w:szCs w:val="21"/>
        </w:rPr>
        <w:t xml:space="preserve">本着公平、公正、公开的原则对各投标单位的投标文件中的商务标进行评分。具体办法如下： (共计 100 分) </w:t>
      </w:r>
    </w:p>
    <w:p w14:paraId="17561E11">
      <w:pPr>
        <w:spacing w:line="360" w:lineRule="auto"/>
        <w:ind w:firstLine="405" w:firstLineChars="192"/>
        <w:rPr>
          <w:rFonts w:ascii="宋体" w:cs="宋体"/>
          <w:b/>
          <w:color w:val="000000"/>
          <w:kern w:val="0"/>
          <w:szCs w:val="21"/>
        </w:rPr>
      </w:pPr>
      <w:r>
        <w:rPr>
          <w:rFonts w:hint="eastAsia" w:ascii="宋体" w:cs="宋体"/>
          <w:b/>
          <w:color w:val="000000"/>
          <w:kern w:val="0"/>
          <w:szCs w:val="21"/>
        </w:rPr>
        <w:t>一、技术标：不需要</w:t>
      </w:r>
    </w:p>
    <w:p w14:paraId="0BFE745B">
      <w:pPr>
        <w:spacing w:line="360" w:lineRule="auto"/>
        <w:ind w:firstLine="405" w:firstLineChars="192"/>
        <w:rPr>
          <w:rFonts w:ascii="宋体" w:cs="宋体"/>
          <w:b/>
          <w:color w:val="000000"/>
          <w:kern w:val="0"/>
          <w:szCs w:val="21"/>
        </w:rPr>
      </w:pPr>
      <w:r>
        <w:rPr>
          <w:rFonts w:hint="eastAsia" w:ascii="宋体" w:cs="宋体"/>
          <w:b/>
          <w:color w:val="000000"/>
          <w:kern w:val="0"/>
          <w:szCs w:val="21"/>
        </w:rPr>
        <w:t>二、商务标：（100分）</w:t>
      </w:r>
    </w:p>
    <w:p w14:paraId="6960C918">
      <w:pPr>
        <w:spacing w:line="360" w:lineRule="auto"/>
        <w:ind w:firstLine="405" w:firstLineChars="192"/>
        <w:rPr>
          <w:rFonts w:ascii="宋体" w:hAnsi="宋体" w:cs="宋体"/>
          <w:b/>
          <w:bCs/>
          <w:color w:val="000000"/>
          <w:szCs w:val="21"/>
        </w:rPr>
      </w:pPr>
      <w:r>
        <w:rPr>
          <w:rFonts w:hint="eastAsia" w:ascii="宋体" w:hAnsi="宋体" w:cs="宋体"/>
          <w:b/>
          <w:bCs/>
          <w:color w:val="000000"/>
          <w:szCs w:val="21"/>
        </w:rPr>
        <w:t>1、确定有效投标报价：</w:t>
      </w:r>
    </w:p>
    <w:p w14:paraId="417C45B9">
      <w:pPr>
        <w:spacing w:line="360" w:lineRule="auto"/>
        <w:ind w:firstLine="405" w:firstLineChars="192"/>
        <w:rPr>
          <w:rFonts w:ascii="宋体" w:hAnsi="宋体" w:cs="宋体"/>
          <w:b/>
          <w:bCs/>
          <w:color w:val="000000"/>
          <w:szCs w:val="21"/>
        </w:rPr>
      </w:pPr>
      <w:r>
        <w:rPr>
          <w:rFonts w:hint="eastAsia" w:ascii="宋体" w:hAnsi="宋体" w:cs="宋体"/>
          <w:b/>
          <w:bCs/>
          <w:color w:val="000000"/>
          <w:szCs w:val="21"/>
        </w:rPr>
        <w:t>凡符合招标文件、招标答疑纪要等有关招标实质性要求，且在招标控制价(最高限价</w:t>
      </w:r>
      <w:r>
        <w:rPr>
          <w:rFonts w:ascii="宋体" w:hAnsi="宋体" w:cs="宋体"/>
          <w:b/>
          <w:bCs/>
          <w:color w:val="000000"/>
          <w:szCs w:val="21"/>
          <w:u w:val="single"/>
        </w:rPr>
        <w:t xml:space="preserve"> 405110.62</w:t>
      </w:r>
      <w:r>
        <w:rPr>
          <w:rFonts w:ascii="宋体" w:hAnsi="宋体" w:cs="宋体"/>
          <w:b/>
          <w:bCs/>
          <w:color w:val="000000"/>
          <w:szCs w:val="21"/>
        </w:rPr>
        <w:t>元</w:t>
      </w:r>
      <w:r>
        <w:rPr>
          <w:rFonts w:hint="eastAsia" w:ascii="宋体" w:hAnsi="宋体" w:cs="宋体"/>
          <w:b/>
          <w:bCs/>
          <w:color w:val="000000"/>
          <w:szCs w:val="21"/>
        </w:rPr>
        <w:t>)及以下的投标报价均为有效投标报价，未能实质性响应上述有关招标要求的投标文件为无效投标文件。</w:t>
      </w:r>
    </w:p>
    <w:p w14:paraId="0C75F161">
      <w:pPr>
        <w:spacing w:line="360" w:lineRule="auto"/>
        <w:ind w:firstLine="405" w:firstLineChars="192"/>
        <w:rPr>
          <w:rFonts w:ascii="宋体"/>
          <w:b/>
          <w:bCs/>
          <w:color w:val="000000"/>
          <w:kern w:val="0"/>
          <w:szCs w:val="21"/>
        </w:rPr>
      </w:pPr>
      <w:r>
        <w:rPr>
          <w:rFonts w:hint="eastAsia" w:ascii="宋体" w:cs="宋体"/>
          <w:b/>
          <w:bCs/>
          <w:color w:val="000000"/>
          <w:kern w:val="0"/>
          <w:szCs w:val="21"/>
        </w:rPr>
        <w:t>2、打分</w:t>
      </w:r>
    </w:p>
    <w:p w14:paraId="5A927A79">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（1）确定评标基准价：通过相关投标数据合成确定评标基准价，高出或低于此基准价相应扣分。评标基准价=（A×50%+B×30%+C×20%）×K； </w:t>
      </w:r>
    </w:p>
    <w:p w14:paraId="75800356">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（2）A=本次招标项目最高投标限价×（100%-下浮率△）； </w:t>
      </w:r>
    </w:p>
    <w:p w14:paraId="21E2E9B0">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     B=在规定范围内的本次投标除C值外的任意一个有效投标价； </w:t>
      </w:r>
    </w:p>
    <w:p w14:paraId="59D31FE1">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     C=在规定范围内的本次开标最低有效投标价  </w:t>
      </w:r>
    </w:p>
    <w:p w14:paraId="4EEB4BAD">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规定范围为：高于［(本次所有有效投标报价的平均值×0.7+本次招标项目最高投标限价×0.3)×0.75］的有效投标报价； </w:t>
      </w:r>
    </w:p>
    <w:p w14:paraId="260840DF">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上述最高投标限价和评标价均应扣除工程（专业工程暂估价+暂列金额)后参与计算和抽取；本工程的（专业工程暂估价+暂列金额)为</w:t>
      </w:r>
      <w:r>
        <w:rPr>
          <w:rFonts w:ascii="宋体" w:hAnsi="宋体"/>
          <w:b/>
          <w:bCs/>
          <w:color w:val="000000"/>
          <w:szCs w:val="21"/>
          <w:u w:val="single"/>
        </w:rPr>
        <w:t>3</w:t>
      </w:r>
      <w:r>
        <w:rPr>
          <w:rFonts w:hint="eastAsia" w:ascii="宋体" w:hAnsi="宋体"/>
          <w:b/>
          <w:bCs/>
          <w:color w:val="000000"/>
          <w:szCs w:val="21"/>
        </w:rPr>
        <w:t>万元</w:t>
      </w:r>
      <w:r>
        <w:rPr>
          <w:rFonts w:hint="eastAsia" w:ascii="宋体" w:hAnsi="宋体"/>
          <w:color w:val="000000"/>
          <w:szCs w:val="21"/>
        </w:rPr>
        <w:t>。</w:t>
      </w:r>
    </w:p>
    <w:p w14:paraId="225F8074">
      <w:pPr>
        <w:ind w:firstLine="420" w:firstLineChars="200"/>
        <w:jc w:val="left"/>
        <w:rPr>
          <w:rFonts w:ascii="宋体" w:hAnsi="宋体"/>
          <w:color w:val="000000"/>
          <w:szCs w:val="21"/>
        </w:rPr>
      </w:pPr>
      <w:r>
        <w:rPr>
          <w:rFonts w:hint="eastAsia" w:ascii="宋体" w:hAnsi="宋体"/>
          <w:color w:val="000000"/>
          <w:szCs w:val="21"/>
        </w:rPr>
        <w:t>K为下浮系数，取值范围为96%、96.5%、97%、97.5%、98%、</w:t>
      </w:r>
      <w:r>
        <w:rPr>
          <w:rFonts w:ascii="宋体" w:hAnsi="宋体"/>
          <w:color w:val="000000"/>
          <w:szCs w:val="21"/>
        </w:rPr>
        <w:t>98.5%、99%</w:t>
      </w:r>
      <w:r>
        <w:rPr>
          <w:rFonts w:hint="eastAsia" w:ascii="宋体" w:hAnsi="宋体"/>
          <w:color w:val="000000"/>
          <w:szCs w:val="21"/>
        </w:rPr>
        <w:t xml:space="preserve">。 </w:t>
      </w:r>
    </w:p>
    <w:p w14:paraId="7347748F">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3）各有效投标价扣除(暂估价+暂列金额)后与评标基准价比对，等于评标基准价的得满分，高出或低于此基准价相应扣分，每高或低1%扣（0.6、0.7、0.8）分。具体扣分值在开标后评标委员会所有评委确定有效标后由招标人代表进行随机抽取。（按内插法，四舍五入取两位小数）。 </w:t>
      </w:r>
    </w:p>
    <w:p w14:paraId="2DD71541">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注：①Δ为以最高投标限价为基数的下浮率，本工程为：1%、2%、3%、4%、5%、6%、7%、8%、9%、10%共10个数值。②C值的确定：按公式计算出本工程的规定范围，在此规定范围内的最低有效投标报价即为C值。③（不含C值）B值随机抽取确定。④开标时有效标少于等于3 家的，不再合成计算评标基准价，最低有效投标报价即为评标基准值。 </w:t>
      </w:r>
    </w:p>
    <w:p w14:paraId="4567017B">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（4）所有抽签均在开标后评标委员会所有评委确定有效标后由招标人代表进行随机抽取。 </w:t>
      </w:r>
    </w:p>
    <w:p w14:paraId="3D63F238">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（5）评标委员会在评标报告上签字后，ABC合成评标基准价不因招投标当事人质疑、投诉、复议以及其它任何情形而改变，评标过程中的计算错误调整除外。 </w:t>
      </w:r>
    </w:p>
    <w:p w14:paraId="5F2BBC01">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四、定标</w:t>
      </w:r>
    </w:p>
    <w:p w14:paraId="11CE4CA9">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以上各项得分相加即为投标人的评标总分，评标总分最高者为第一中标候选人。若评标总分相同，则选择其中投标报价低者为第一中标候选人；若评标总分相同，投标报价也相同，当场按签到顺序抽签确定中标候选人。 </w:t>
      </w:r>
    </w:p>
    <w:p w14:paraId="0A9E7577">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注意事项： </w:t>
      </w:r>
    </w:p>
    <w:p w14:paraId="14751BFB">
      <w:pPr>
        <w:autoSpaceDE w:val="0"/>
        <w:autoSpaceDN w:val="0"/>
        <w:adjustRightInd w:val="0"/>
        <w:spacing w:line="360" w:lineRule="auto"/>
        <w:ind w:firstLine="369" w:firstLineChars="176"/>
        <w:jc w:val="left"/>
        <w:rPr>
          <w:rFonts w:ascii="宋体" w:hAnsi="宋体"/>
          <w:color w:val="000000"/>
          <w:szCs w:val="21"/>
        </w:rPr>
      </w:pPr>
      <w:r>
        <w:rPr>
          <w:rFonts w:hint="eastAsia" w:ascii="宋体" w:hAnsi="宋体"/>
          <w:color w:val="000000"/>
          <w:szCs w:val="21"/>
        </w:rPr>
        <w:t xml:space="preserve">1、一旦发现中标单位存在非法转包、转让、挂靠等行为的，将依法进行处理，给招标人造成损失的，依法承担赔偿责任。 </w:t>
      </w:r>
    </w:p>
    <w:p w14:paraId="6BE24027">
      <w:pPr>
        <w:adjustRightInd w:val="0"/>
        <w:snapToGrid w:val="0"/>
        <w:spacing w:line="440" w:lineRule="exact"/>
        <w:ind w:firstLine="411" w:firstLineChars="196"/>
        <w:rPr>
          <w:rFonts w:ascii="宋体" w:hAnsi="宋体"/>
          <w:color w:val="000000"/>
          <w:szCs w:val="21"/>
        </w:rPr>
      </w:pPr>
      <w:r>
        <w:rPr>
          <w:rFonts w:hint="eastAsia" w:ascii="宋体" w:hAnsi="宋体"/>
          <w:color w:val="000000"/>
          <w:szCs w:val="21"/>
        </w:rPr>
        <w:t>2、本工程招标公告中的评标办法与招标文件中的评标办法不一致时，以招标公告中的评标办法为准。</w:t>
      </w:r>
      <w:bookmarkEnd w:id="0"/>
    </w:p>
    <w:p w14:paraId="64874618">
      <w:pPr>
        <w:spacing w:line="360" w:lineRule="auto"/>
        <w:ind w:firstLine="403" w:firstLineChars="19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41A"/>
    <w:rsid w:val="000218EC"/>
    <w:rsid w:val="000C5BB5"/>
    <w:rsid w:val="000D3362"/>
    <w:rsid w:val="001C51AE"/>
    <w:rsid w:val="0030795C"/>
    <w:rsid w:val="00391F27"/>
    <w:rsid w:val="003D253F"/>
    <w:rsid w:val="0049641A"/>
    <w:rsid w:val="004D5D8F"/>
    <w:rsid w:val="005A140A"/>
    <w:rsid w:val="005D7289"/>
    <w:rsid w:val="00667D87"/>
    <w:rsid w:val="006C4C7B"/>
    <w:rsid w:val="00A24E4C"/>
    <w:rsid w:val="00A309F5"/>
    <w:rsid w:val="00B360A8"/>
    <w:rsid w:val="00BE0A4F"/>
    <w:rsid w:val="00C609D9"/>
    <w:rsid w:val="00D17817"/>
    <w:rsid w:val="00D34C2F"/>
    <w:rsid w:val="00D52045"/>
    <w:rsid w:val="00EC4560"/>
    <w:rsid w:val="08281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fontstyle01"/>
    <w:basedOn w:val="6"/>
    <w:autoRedefine/>
    <w:qFormat/>
    <w:uiPriority w:val="0"/>
    <w:rPr>
      <w:rFonts w:hint="eastAsia" w:ascii="宋体" w:hAnsi="宋体" w:eastAsia="宋体"/>
      <w:color w:val="000000"/>
      <w:sz w:val="22"/>
      <w:szCs w:val="22"/>
    </w:r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1171</Words>
  <Characters>1256</Characters>
  <Lines>9</Lines>
  <Paragraphs>2</Paragraphs>
  <TotalTime>24</TotalTime>
  <ScaleCrop>false</ScaleCrop>
  <LinksUpToDate>false</LinksUpToDate>
  <CharactersWithSpaces>1286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2024-05-28T14:30:00Z</dcterms:created>
  <dc:creator>刘江</dc:creator>
  <cp:lastModifiedBy>。</cp:lastModifiedBy>
  <dcterms:modified xsi:type="dcterms:W3CDTF">2025-06-27T08:08:38Z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eyJoZGlkIjoiMjhjNTQwZmM4YTQ3MzBhNTE5OTFmNmUzMGNhNGQ0ZjkiLCJ1c2VySWQiOiIzMjAzNTE4MjAifQ==</vt:lpwstr>
  </property>
  <property fmtid="{D5CDD505-2E9C-101B-9397-08002B2CF9AE}" pid="3" name="KSOProductBuildVer">
    <vt:lpwstr>2052-12.1.0.21541</vt:lpwstr>
  </property>
  <property fmtid="{D5CDD505-2E9C-101B-9397-08002B2CF9AE}" pid="4" name="ICV">
    <vt:lpwstr>3B3D59D7766D44A190A6B159C8FCE32D_12</vt:lpwstr>
  </property>
</Properties>
</file>